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4C" w:rsidRDefault="0004714C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777"/>
        <w:gridCol w:w="1434"/>
        <w:gridCol w:w="1942"/>
        <w:gridCol w:w="1942"/>
        <w:gridCol w:w="1942"/>
      </w:tblGrid>
      <w:tr w:rsidR="0004714C">
        <w:trPr>
          <w:trHeight w:val="1263"/>
        </w:trPr>
        <w:tc>
          <w:tcPr>
            <w:tcW w:w="652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10</w:t>
            </w: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C2F42" w:rsidRPr="008C2F42" w:rsidRDefault="008C2F42" w:rsidP="008C2F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F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  <w:p w:rsidR="0004714C" w:rsidRDefault="0004714C">
            <w:pPr>
              <w:rPr>
                <w:rFonts w:ascii="Arial" w:hAnsi="Arial" w:cs="Arial"/>
              </w:rPr>
            </w:pPr>
          </w:p>
        </w:tc>
      </w:tr>
      <w:tr w:rsidR="0004714C">
        <w:trPr>
          <w:trHeight w:val="560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</w:tr>
      <w:tr w:rsidR="0004714C">
        <w:trPr>
          <w:trHeight w:val="89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8C2F4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АССИГНОВАНИЙ,</w:t>
            </w:r>
          </w:p>
          <w:p w:rsidR="0004714C" w:rsidRDefault="008C2F4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НАПРАВЛЯЕМЫХ НА ГОСУДАРСТВЕННУЮ ПОДДЕРЖКУ СЕМЬИ И ДЕТЕЙ,</w:t>
            </w:r>
          </w:p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  <w:tr w:rsidR="0004714C">
        <w:trPr>
          <w:trHeight w:val="484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04714C">
        <w:trPr>
          <w:trHeight w:val="295"/>
        </w:trPr>
        <w:tc>
          <w:tcPr>
            <w:tcW w:w="65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Ве-</w:t>
            </w:r>
          </w:p>
          <w:p w:rsidR="0004714C" w:rsidRDefault="008C2F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дом-</w:t>
            </w:r>
          </w:p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ство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04714C">
        <w:trPr>
          <w:trHeight w:val="353"/>
        </w:trPr>
        <w:tc>
          <w:tcPr>
            <w:tcW w:w="652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4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04714C" w:rsidRDefault="0004714C">
      <w:pPr>
        <w:rPr>
          <w:rFonts w:ascii="Arial" w:hAnsi="Arial" w:cs="Arial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6521"/>
        <w:gridCol w:w="777"/>
        <w:gridCol w:w="1434"/>
        <w:gridCol w:w="1942"/>
        <w:gridCol w:w="1942"/>
        <w:gridCol w:w="1942"/>
      </w:tblGrid>
      <w:tr w:rsidR="0004714C">
        <w:trPr>
          <w:trHeight w:val="279"/>
          <w:tblHeader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525 512 897,38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486 458 681,07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499 857 185,93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525 512 897,38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486 458 681,07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499 857 185,93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расходных материалов </w:t>
            </w:r>
            <w:r>
              <w:rPr>
                <w:rFonts w:ascii="Times New Roman" w:hAnsi="Times New Roman" w:cs="Times New Roman"/>
                <w:color w:val="000000"/>
              </w:rPr>
              <w:t>для неонатального и аудиологического скрининга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полноценным питанием беременных женщин, кормящих матерей, а также детей в возрасте до трех лет по заключен</w:t>
            </w:r>
            <w:r>
              <w:rPr>
                <w:rFonts w:ascii="Times New Roman" w:hAnsi="Times New Roman" w:cs="Times New Roman"/>
                <w:color w:val="000000"/>
              </w:rPr>
              <w:t>ию врачей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Компенсация стоимости проезда детей и сопровождающих их лиц, </w:t>
            </w:r>
            <w:r>
              <w:rPr>
                <w:rFonts w:ascii="Times New Roman" w:hAnsi="Times New Roman" w:cs="Times New Roman"/>
                <w:color w:val="000000"/>
              </w:rPr>
              <w:t>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39 479 695 093,93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36 095 727 835,65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34 180 043 301,78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32 573 246 876,59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31 688 824 895,49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29 947 639 736,28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содержания и </w:t>
            </w:r>
            <w:r>
              <w:rPr>
                <w:rFonts w:ascii="Times New Roman" w:hAnsi="Times New Roman" w:cs="Times New Roman"/>
                <w:color w:val="000000"/>
              </w:rPr>
              <w:t>методов обучения предметных областей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</w:t>
            </w:r>
            <w:r>
              <w:rPr>
                <w:rFonts w:ascii="Times New Roman" w:hAnsi="Times New Roman" w:cs="Times New Roman"/>
                <w:color w:val="000000"/>
              </w:rPr>
              <w:t>деятельность по адаптированным основным общеобразовательным программам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Cоздание новых мест в общеобразовательных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</w:t>
            </w:r>
            <w:r>
              <w:rPr>
                <w:rFonts w:ascii="Times New Roman" w:hAnsi="Times New Roman" w:cs="Times New Roman"/>
                <w:color w:val="000000"/>
              </w:rPr>
              <w:t>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субсидии образовательным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</w:t>
            </w:r>
            <w:r>
              <w:rPr>
                <w:rFonts w:ascii="Times New Roman" w:hAnsi="Times New Roman" w:cs="Times New Roman"/>
                <w:color w:val="000000"/>
              </w:rPr>
              <w:t>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обеспечению деятельности советников директора по воспитанию и </w:t>
            </w:r>
            <w:r>
              <w:rPr>
                <w:rFonts w:ascii="Times New Roman" w:hAnsi="Times New Roman" w:cs="Times New Roman"/>
                <w:color w:val="000000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</w:t>
            </w:r>
            <w:r>
              <w:rPr>
                <w:rFonts w:ascii="Times New Roman" w:hAnsi="Times New Roman" w:cs="Times New Roman"/>
                <w:color w:val="000000"/>
              </w:rPr>
              <w:t>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образования, в том числе адаптированным, и присмотр и у</w:t>
            </w:r>
            <w:r>
              <w:rPr>
                <w:rFonts w:ascii="Times New Roman" w:hAnsi="Times New Roman" w:cs="Times New Roman"/>
                <w:color w:val="000000"/>
              </w:rPr>
              <w:t>ход за детьми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школьных систем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1 428 337 607,80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146 766 039,00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</w:t>
            </w:r>
            <w:r>
              <w:rPr>
                <w:rFonts w:ascii="Times New Roman" w:hAnsi="Times New Roman" w:cs="Times New Roman"/>
                <w:color w:val="000000"/>
              </w:rPr>
              <w:t>да за детьми дошкольного возраста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</w:t>
            </w:r>
            <w:r>
              <w:rPr>
                <w:rFonts w:ascii="Times New Roman" w:hAnsi="Times New Roman" w:cs="Times New Roman"/>
                <w:color w:val="000000"/>
              </w:rPr>
              <w:t>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14 665 446 108,31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бесплатным питанием детей, обучающихся </w:t>
            </w:r>
            <w:r>
              <w:rPr>
                <w:rFonts w:ascii="Times New Roman" w:hAnsi="Times New Roman" w:cs="Times New Roman"/>
                <w:color w:val="000000"/>
              </w:rPr>
              <w:t>в муниципальных образовательных организациях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</w:rPr>
              <w:t>Губернатора Приморского края для одаренных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реконструкция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приобретение зданий муниципальных общеобразовательных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224 043 001,00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отдыха и оздоровления отдельных категорий детей и подростков, в том числе нуждающихся </w:t>
            </w:r>
            <w:r>
              <w:rPr>
                <w:rFonts w:ascii="Times New Roman" w:hAnsi="Times New Roman" w:cs="Times New Roman"/>
                <w:color w:val="000000"/>
              </w:rPr>
              <w:t>в психолого-педагогическом и ином специальном сопровождении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13 561 080,00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</w:rPr>
              <w:t>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231 759 378,44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из краевого бюджета автономной некоммерческой организации "Учебно-методический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411 026 094,20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государственных полномочий органов опеки и попечительства в отношении </w:t>
            </w:r>
            <w:r>
              <w:rPr>
                <w:rFonts w:ascii="Times New Roman" w:hAnsi="Times New Roman" w:cs="Times New Roman"/>
                <w:color w:val="000000"/>
              </w:rPr>
              <w:t>несовершеннолетних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делам молодежи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23 925 799,88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Примор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2 389 314 391,65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общего образования в отдельных субъектах Российской Федерации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Cоздание новых мест в общеобразовательных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детей в</w:t>
            </w:r>
            <w:r>
              <w:rPr>
                <w:rFonts w:ascii="Times New Roman" w:hAnsi="Times New Roman" w:cs="Times New Roman"/>
                <w:color w:val="000000"/>
              </w:rPr>
              <w:t xml:space="preserve">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Cтроительство, реконструкция, приобретение зданий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культуры и архивного дела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607 880,00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4 492 600 145,81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4 031 471 560,16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4 226 972 185,50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Организация, проведение и участие в </w:t>
            </w:r>
            <w:r>
              <w:rPr>
                <w:rFonts w:ascii="Times New Roman" w:hAnsi="Times New Roman" w:cs="Times New Roman"/>
                <w:color w:val="000000"/>
              </w:rPr>
              <w:t>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78 431 218,82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проведение демонстрац</w:t>
            </w:r>
            <w:r>
              <w:rPr>
                <w:rFonts w:ascii="Times New Roman" w:hAnsi="Times New Roman" w:cs="Times New Roman"/>
                <w:color w:val="000000"/>
              </w:rPr>
              <w:t>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</w:t>
            </w:r>
            <w:r>
              <w:rPr>
                <w:rFonts w:ascii="Times New Roman" w:hAnsi="Times New Roman" w:cs="Times New Roman"/>
                <w:color w:val="000000"/>
              </w:rPr>
              <w:t>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</w:t>
            </w:r>
            <w:r>
              <w:rPr>
                <w:rFonts w:ascii="Times New Roman" w:hAnsi="Times New Roman" w:cs="Times New Roman"/>
                <w:color w:val="000000"/>
              </w:rPr>
              <w:t>нными возможностями здоровья "Абилимпикс"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</w:t>
            </w:r>
            <w:r>
              <w:rPr>
                <w:rFonts w:ascii="Times New Roman" w:hAnsi="Times New Roman" w:cs="Times New Roman"/>
                <w:color w:val="000000"/>
              </w:rPr>
              <w:t>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из краевого бюджета грантов победителям краевого </w:t>
            </w:r>
            <w:r>
              <w:rPr>
                <w:rFonts w:ascii="Times New Roman" w:hAnsi="Times New Roman" w:cs="Times New Roman"/>
                <w:color w:val="000000"/>
              </w:rPr>
              <w:t>конкурса молодежных проектов "Миллион СПОсобов"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1 046 717 949,56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детей-сирот и детей, оставшихся без попечения родителей, и лиц из числа</w:t>
            </w:r>
            <w:r>
              <w:rPr>
                <w:rFonts w:ascii="Times New Roman" w:hAnsi="Times New Roman" w:cs="Times New Roman"/>
                <w:color w:val="000000"/>
              </w:rPr>
              <w:t xml:space="preserve">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 Губернатора Приморского края для обучающихся по программам среднего профессио</w:t>
            </w:r>
            <w:r>
              <w:rPr>
                <w:rFonts w:ascii="Times New Roman" w:hAnsi="Times New Roman" w:cs="Times New Roman"/>
                <w:color w:val="000000"/>
              </w:rPr>
              <w:t>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</w:rPr>
              <w:t>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11 412 464 376,59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8 112 919 631,40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8 125 448 085,51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1 369 026 728,94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1 758 222 052,77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Компенсация родителям за вос</w:t>
            </w:r>
            <w:r>
              <w:rPr>
                <w:rFonts w:ascii="Times New Roman" w:hAnsi="Times New Roman" w:cs="Times New Roman"/>
                <w:color w:val="000000"/>
              </w:rPr>
              <w:t>питание и обучение детей-инвалидов на дому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r>
              <w:rPr>
                <w:rFonts w:ascii="Times New Roman" w:hAnsi="Times New Roman" w:cs="Times New Roman"/>
                <w:color w:val="000000"/>
              </w:rPr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труда и социальной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9 943 815 840,65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6 408 245 049,73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6 367 226 032,74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</w:t>
            </w:r>
            <w:r>
              <w:rPr>
                <w:rFonts w:ascii="Times New Roman" w:hAnsi="Times New Roman" w:cs="Times New Roman"/>
                <w:color w:val="000000"/>
              </w:rPr>
              <w:t>достижения ребенком возраста трех лет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</w:t>
            </w:r>
            <w:r>
              <w:rPr>
                <w:rFonts w:ascii="Times New Roman" w:hAnsi="Times New Roman" w:cs="Times New Roman"/>
                <w:color w:val="000000"/>
              </w:rPr>
              <w:t>ждения третьего ребенка или последующих детей до достижения ребенком возраста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428 514 848,00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которой родились одновременно трое и более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</w:t>
            </w:r>
            <w:r>
              <w:rPr>
                <w:rFonts w:ascii="Times New Roman" w:hAnsi="Times New Roman" w:cs="Times New Roman"/>
                <w:color w:val="000000"/>
              </w:rPr>
              <w:t>держки многодетных семей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ежемесячных выплат на детей в возрасте от трех до семи лет включительно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3 126 590 749,52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</w:t>
            </w:r>
            <w:r>
              <w:rPr>
                <w:rFonts w:ascii="Times New Roman" w:hAnsi="Times New Roman" w:cs="Times New Roman"/>
                <w:color w:val="000000"/>
              </w:rPr>
              <w:t>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бюджету Фонда пенсионного и социального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бюджету Фонда пенсионного и социального страхования Российской Федерации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выплату ежемесячного пособия в связи с рождением и воспитанием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акционерному обществу "ДОМ.РФ" на возмещение расходов в связи с реализаци</w:t>
            </w:r>
            <w:r>
              <w:rPr>
                <w:rFonts w:ascii="Times New Roman" w:hAnsi="Times New Roman" w:cs="Times New Roman"/>
                <w:color w:val="000000"/>
              </w:rPr>
              <w:t>ей меры 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многодетных семей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ежемесячного пособия на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Единовременная социальная выплата многодетным семьям, в которых воспитываются шесть и более детей, на приобретение транспортного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</w:t>
            </w:r>
            <w:r>
              <w:rPr>
                <w:rFonts w:ascii="Times New Roman" w:hAnsi="Times New Roman" w:cs="Times New Roman"/>
                <w:color w:val="000000"/>
              </w:rPr>
              <w:t>ть в свободное от учебы время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Компенсации </w:t>
            </w:r>
            <w:r>
              <w:rPr>
                <w:rFonts w:ascii="Times New Roman" w:hAnsi="Times New Roman" w:cs="Times New Roman"/>
                <w:color w:val="000000"/>
              </w:rPr>
              <w:t>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приемным семьям, жилые помещения 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</w:t>
            </w:r>
            <w:r>
              <w:rPr>
                <w:rFonts w:ascii="Times New Roman" w:hAnsi="Times New Roman" w:cs="Times New Roman"/>
                <w:color w:val="000000"/>
              </w:rPr>
              <w:t>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социально ориентированным некоммерческим организациям Приморского края, оказываю</w:t>
            </w:r>
            <w:r>
              <w:rPr>
                <w:rFonts w:ascii="Times New Roman" w:hAnsi="Times New Roman" w:cs="Times New Roman"/>
                <w:color w:val="000000"/>
              </w:rPr>
              <w:t>щим услуги по профилактике социального сиротства, поддержке материнства и детства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</w:t>
            </w:r>
            <w:r>
              <w:rPr>
                <w:rFonts w:ascii="Times New Roman" w:hAnsi="Times New Roman" w:cs="Times New Roman"/>
                <w:color w:val="000000"/>
              </w:rPr>
              <w:t>земельного участка в собственность бесплатно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955 959 460,02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665 906 298,23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567 924 387,48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культуры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архивного дела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955 959 460,02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665 906 298,23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567 924 387,48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(оснащение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(софинансирование расходных обязательств, </w:t>
            </w:r>
            <w:r>
              <w:rPr>
                <w:rFonts w:ascii="Times New Roman" w:hAnsi="Times New Roman" w:cs="Times New Roman"/>
                <w:color w:val="000000"/>
              </w:rPr>
              <w:t>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планов социального развития центров экономического роста субъектов Россий</w:t>
            </w:r>
            <w:r>
              <w:rPr>
                <w:rFonts w:ascii="Times New Roman" w:hAnsi="Times New Roman" w:cs="Times New Roman"/>
                <w:color w:val="000000"/>
              </w:rPr>
              <w:t>ской Федерации, входящих в состав Дальневосточного федерального округа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творческой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и техническое оснащение детских и кукольных театров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</w:rPr>
              <w:t>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456 181 941,14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502 019 991,94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529 314 840,80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130 064 057,99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музыкальных инструментов и художественного инвентаря для учреждений </w:t>
            </w:r>
            <w:r>
              <w:rPr>
                <w:rFonts w:ascii="Times New Roman" w:hAnsi="Times New Roman" w:cs="Times New Roman"/>
                <w:color w:val="000000"/>
              </w:rPr>
              <w:t>дополнительного образования детей в сфере культуры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3 294 668 856,70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1 729 003 447,85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1 733 613 280,61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2 439 643 106,30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1 253 129 034,27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жилых помещений детям-сиротам и детям, оставшимся без </w:t>
            </w:r>
            <w:r>
              <w:rPr>
                <w:rFonts w:ascii="Times New Roman" w:hAnsi="Times New Roman" w:cs="Times New Roman"/>
                <w:color w:val="000000"/>
              </w:rPr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>
              <w:rPr>
                <w:rFonts w:ascii="Times New Roman" w:hAnsi="Times New Roman" w:cs="Times New Roman"/>
                <w:color w:val="000000"/>
              </w:rPr>
              <w:t>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социальной выплаты на приобретение жилого помещения детям-сиротам и детям, оставшимся </w:t>
            </w:r>
            <w:r>
              <w:rPr>
                <w:rFonts w:ascii="Times New Roman" w:hAnsi="Times New Roman" w:cs="Times New Roman"/>
                <w:color w:val="000000"/>
              </w:rPr>
              <w:t>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жилищно-коммунального хозяйства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делам молодежи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241 617 532,10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261 240 200,00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265 850 100,00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молодым семьям дополнительных социальных выплат на приобретение жилого помещения или </w:t>
            </w:r>
            <w:r>
              <w:rPr>
                <w:rFonts w:ascii="Times New Roman" w:hAnsi="Times New Roman" w:cs="Times New Roman"/>
                <w:color w:val="000000"/>
              </w:rPr>
              <w:t>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209 523 809,5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214 634 146,34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Ремонт жилых </w:t>
            </w:r>
            <w:r>
              <w:rPr>
                <w:rFonts w:ascii="Times New Roman" w:hAnsi="Times New Roman" w:cs="Times New Roman"/>
                <w:color w:val="000000"/>
              </w:rPr>
              <w:t>помещений, предназначенных для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физическ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ой культуры и спорта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108 002 755,10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108 002 755,10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спортивного оборудования и инвентаря для </w:t>
            </w:r>
            <w:r>
              <w:rPr>
                <w:rFonts w:ascii="Times New Roman" w:hAnsi="Times New Roman" w:cs="Times New Roman"/>
                <w:color w:val="000000"/>
              </w:rPr>
              <w:t>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</w:t>
            </w:r>
            <w:r>
              <w:rPr>
                <w:rFonts w:ascii="Times New Roman" w:hAnsi="Times New Roman" w:cs="Times New Roman"/>
                <w:color w:val="000000"/>
              </w:rPr>
              <w:t>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транспорта и дорожного хозяйства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Проектирование, строительство, капитальный ремонт и ремонт подъездных автомобильных дорог, прое</w:t>
            </w:r>
            <w:r>
              <w:rPr>
                <w:rFonts w:ascii="Times New Roman" w:hAnsi="Times New Roman" w:cs="Times New Roman"/>
                <w:color w:val="000000"/>
              </w:rPr>
              <w:t>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78 965 000,00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78 965 000,00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10 215 900,00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труда и социальной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</w:rPr>
              <w:t>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</w:t>
            </w:r>
            <w:r>
              <w:rPr>
                <w:rFonts w:ascii="Times New Roman" w:hAnsi="Times New Roman" w:cs="Times New Roman"/>
                <w:color w:val="000000"/>
              </w:rPr>
              <w:t>хотропных веществ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внутренней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на 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4714C">
        <w:trPr>
          <w:trHeight w:val="288"/>
        </w:trPr>
        <w:tc>
          <w:tcPr>
            <w:tcW w:w="65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56 453 706 463,92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47 229 838 306,24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45 186 676 241,31</w:t>
            </w:r>
          </w:p>
        </w:tc>
      </w:tr>
      <w:tr w:rsidR="0004714C">
        <w:trPr>
          <w:trHeight w:val="288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14C" w:rsidRDefault="008C2F4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04714C">
        <w:trPr>
          <w:trHeight w:val="49"/>
        </w:trPr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4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14C" w:rsidRDefault="0004714C">
            <w:pPr>
              <w:rPr>
                <w:rFonts w:ascii="Arial" w:hAnsi="Arial" w:cs="Arial"/>
              </w:rPr>
            </w:pPr>
          </w:p>
        </w:tc>
      </w:tr>
    </w:tbl>
    <w:p w:rsidR="0004714C" w:rsidRDefault="0004714C">
      <w:pPr>
        <w:rPr>
          <w:rFonts w:ascii="Arial" w:hAnsi="Arial" w:cs="Arial"/>
        </w:rPr>
      </w:pPr>
    </w:p>
    <w:sectPr w:rsidR="0004714C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2F42">
      <w:r>
        <w:separator/>
      </w:r>
    </w:p>
  </w:endnote>
  <w:endnote w:type="continuationSeparator" w:id="0">
    <w:p w:rsidR="00000000" w:rsidRDefault="008C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2F42">
      <w:r>
        <w:separator/>
      </w:r>
    </w:p>
  </w:footnote>
  <w:footnote w:type="continuationSeparator" w:id="0">
    <w:p w:rsidR="00000000" w:rsidRDefault="008C2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14C" w:rsidRDefault="008C2F42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04714C"/>
    <w:rsid w:val="0004714C"/>
    <w:rsid w:val="008C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6FA"/>
  <w15:docId w15:val="{FBF0622C-A9E3-4C03-B5C3-A92E8911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4564</Words>
  <Characters>26020</Characters>
  <Application>Microsoft Office Word</Application>
  <DocSecurity>0</DocSecurity>
  <Lines>216</Lines>
  <Paragraphs>61</Paragraphs>
  <ScaleCrop>false</ScaleCrop>
  <Company>APK</Company>
  <LinksUpToDate>false</LinksUpToDate>
  <CharactersWithSpaces>30523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16.03.2023 12:02:51</dc:subject>
  <dc:creator>Keysystems.DWH.ReportDesigner</dc:creator>
  <cp:lastModifiedBy>Решетникова Светлана Юрьевна</cp:lastModifiedBy>
  <cp:revision>2</cp:revision>
  <dcterms:created xsi:type="dcterms:W3CDTF">2023-09-19T13:05:00Z</dcterms:created>
  <dcterms:modified xsi:type="dcterms:W3CDTF">2023-09-19T23:04:00Z</dcterms:modified>
</cp:coreProperties>
</file>